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87D075" w14:textId="77777777" w:rsidR="00AB2E09" w:rsidRDefault="00AB2E09">
      <w:pPr>
        <w:tabs>
          <w:tab w:val="center" w:pos="4819"/>
          <w:tab w:val="right" w:pos="9638"/>
        </w:tabs>
      </w:pPr>
    </w:p>
    <w:p w14:paraId="57CCCB82" w14:textId="77777777" w:rsidR="00AB2E09" w:rsidRDefault="00634EBC">
      <w:pPr>
        <w:jc w:val="center"/>
      </w:pPr>
      <w:r>
        <w:rPr>
          <w:b/>
          <w:bCs/>
          <w:noProof/>
          <w:szCs w:val="24"/>
          <w:lang w:eastAsia="lt-LT"/>
        </w:rPr>
        <w:drawing>
          <wp:inline distT="0" distB="0" distL="0" distR="0" wp14:anchorId="5245DA0D" wp14:editId="5CCAFDD0">
            <wp:extent cx="541020" cy="556260"/>
            <wp:effectExtent l="0" t="0" r="0" b="0"/>
            <wp:docPr id="2" name="Picture 1" descr="Paveikslėlis, kuriame yra eskizas, piešimas, iliustracija, simboli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Paveikslėlis, kuriame yra eskizas, piešimas, iliustracija, simbolis  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020" cy="556260"/>
                    </a:xfrm>
                    <a:prstGeom prst="rect">
                      <a:avLst/>
                    </a:prstGeom>
                    <a:noFill/>
                    <a:ln>
                      <a:noFill/>
                    </a:ln>
                  </pic:spPr>
                </pic:pic>
              </a:graphicData>
            </a:graphic>
          </wp:inline>
        </w:drawing>
      </w:r>
    </w:p>
    <w:p w14:paraId="66A8163D" w14:textId="77777777" w:rsidR="00AB2E09" w:rsidRDefault="00AB2E09">
      <w:pPr>
        <w:jc w:val="center"/>
      </w:pPr>
    </w:p>
    <w:p w14:paraId="5969FE19" w14:textId="77777777" w:rsidR="00AB2E09" w:rsidRDefault="00634EBC">
      <w:pPr>
        <w:jc w:val="center"/>
        <w:rPr>
          <w:b/>
          <w:bCs/>
          <w:color w:val="000000"/>
          <w:sz w:val="28"/>
          <w:szCs w:val="28"/>
          <w:lang w:eastAsia="en-GB"/>
        </w:rPr>
      </w:pPr>
      <w:r>
        <w:rPr>
          <w:b/>
          <w:bCs/>
          <w:color w:val="000000"/>
          <w:sz w:val="28"/>
          <w:szCs w:val="28"/>
          <w:lang w:eastAsia="en-GB"/>
        </w:rPr>
        <w:t>LIETUVOS RESPUBLIKOS ŠVIETIMO, MOKSLO IR SPORTO MINISTRAS</w:t>
      </w:r>
    </w:p>
    <w:p w14:paraId="04B24590" w14:textId="5C1AC773" w:rsidR="00AB2E09" w:rsidRDefault="00AB2E09">
      <w:pPr>
        <w:jc w:val="center"/>
        <w:rPr>
          <w:b/>
          <w:bCs/>
          <w:color w:val="000000"/>
          <w:szCs w:val="24"/>
        </w:rPr>
      </w:pPr>
    </w:p>
    <w:p w14:paraId="0A625BAD" w14:textId="77777777" w:rsidR="00AB2E09" w:rsidRDefault="00AB2E09">
      <w:pPr>
        <w:jc w:val="center"/>
        <w:rPr>
          <w:b/>
          <w:bCs/>
          <w:color w:val="000000"/>
          <w:szCs w:val="24"/>
        </w:rPr>
      </w:pPr>
    </w:p>
    <w:p w14:paraId="4623569E" w14:textId="77777777" w:rsidR="00AB2E09" w:rsidRDefault="00634EBC">
      <w:pPr>
        <w:jc w:val="center"/>
        <w:rPr>
          <w:b/>
          <w:bCs/>
          <w:color w:val="000000"/>
          <w:szCs w:val="24"/>
        </w:rPr>
      </w:pPr>
      <w:r>
        <w:rPr>
          <w:b/>
          <w:bCs/>
          <w:color w:val="000000"/>
          <w:szCs w:val="24"/>
        </w:rPr>
        <w:t>ĮSAKYMAS</w:t>
      </w:r>
    </w:p>
    <w:p w14:paraId="54BEB2CE" w14:textId="5D43E31B" w:rsidR="00AB2E09" w:rsidRDefault="00634EBC">
      <w:pPr>
        <w:jc w:val="center"/>
        <w:rPr>
          <w:b/>
          <w:bCs/>
          <w:spacing w:val="15"/>
          <w:szCs w:val="24"/>
        </w:rPr>
      </w:pPr>
      <w:r>
        <w:rPr>
          <w:b/>
          <w:bCs/>
          <w:spacing w:val="15"/>
          <w:szCs w:val="24"/>
        </w:rPr>
        <w:t xml:space="preserve">DĖL ŠVIETIMO, MOKSLO IR SPORTO MINISTRO 2011 M. GRUODŽIO 30 D. ĮSAKYMO NR. V-2558 „DĖL PAGRINDINIO UGDYMO PASIEKIMŲ PATIKRINIMO ORGANIZAVIMO IR VYKDYMO TVARKOS APRAŠO PATVIRTINIMO“ </w:t>
      </w:r>
      <w:r>
        <w:rPr>
          <w:b/>
          <w:bCs/>
          <w:spacing w:val="15"/>
          <w:szCs w:val="24"/>
        </w:rPr>
        <w:t>PAKEITIMO</w:t>
      </w:r>
    </w:p>
    <w:p w14:paraId="2E00D49C" w14:textId="5CF0D0F4" w:rsidR="00AB2E09" w:rsidRDefault="00AB2E09">
      <w:pPr>
        <w:rPr>
          <w:szCs w:val="24"/>
        </w:rPr>
      </w:pPr>
    </w:p>
    <w:p w14:paraId="70E941CE" w14:textId="70352CAD" w:rsidR="00AB2E09" w:rsidRDefault="00634EBC">
      <w:pPr>
        <w:keepNext/>
        <w:tabs>
          <w:tab w:val="left" w:pos="5035"/>
        </w:tabs>
        <w:overflowPunct w:val="0"/>
        <w:ind w:left="108"/>
        <w:jc w:val="center"/>
        <w:textAlignment w:val="baseline"/>
        <w:outlineLvl w:val="2"/>
        <w:rPr>
          <w:szCs w:val="24"/>
        </w:rPr>
      </w:pPr>
      <w:r>
        <w:rPr>
          <w:szCs w:val="24"/>
        </w:rPr>
        <w:t>2025 m. spalio</w:t>
      </w:r>
      <w:r>
        <w:rPr>
          <w:szCs w:val="24"/>
        </w:rPr>
        <w:t xml:space="preserve"> 10</w:t>
      </w:r>
      <w:r>
        <w:rPr>
          <w:szCs w:val="24"/>
        </w:rPr>
        <w:t xml:space="preserve"> d. Nr. V-1047</w:t>
      </w:r>
    </w:p>
    <w:p w14:paraId="3F8E7392" w14:textId="77777777" w:rsidR="00AB2E09" w:rsidRDefault="00634EBC">
      <w:pPr>
        <w:overflowPunct w:val="0"/>
        <w:ind w:left="108"/>
        <w:jc w:val="center"/>
        <w:textAlignment w:val="baseline"/>
        <w:rPr>
          <w:szCs w:val="24"/>
        </w:rPr>
      </w:pPr>
      <w:r>
        <w:rPr>
          <w:szCs w:val="24"/>
        </w:rPr>
        <w:t>Vilnius</w:t>
      </w:r>
    </w:p>
    <w:p w14:paraId="30FFEBBA" w14:textId="2E5519D5" w:rsidR="00AB2E09" w:rsidRDefault="00AB2E09">
      <w:pPr>
        <w:overflowPunct w:val="0"/>
        <w:jc w:val="center"/>
        <w:rPr>
          <w:szCs w:val="24"/>
        </w:rPr>
      </w:pPr>
    </w:p>
    <w:p w14:paraId="11CCD653" w14:textId="77777777" w:rsidR="00634EBC" w:rsidRDefault="00634EBC">
      <w:pPr>
        <w:overflowPunct w:val="0"/>
        <w:jc w:val="center"/>
        <w:rPr>
          <w:szCs w:val="24"/>
        </w:rPr>
      </w:pPr>
    </w:p>
    <w:p w14:paraId="65030F7E" w14:textId="06090A21" w:rsidR="00AB2E09" w:rsidRDefault="00634EBC">
      <w:pPr>
        <w:ind w:firstLine="709"/>
        <w:jc w:val="both"/>
        <w:rPr>
          <w:szCs w:val="24"/>
        </w:rPr>
      </w:pPr>
      <w:r>
        <w:rPr>
          <w:spacing w:val="60"/>
          <w:szCs w:val="24"/>
        </w:rPr>
        <w:t>Pakeičiu</w:t>
      </w:r>
      <w:r>
        <w:rPr>
          <w:szCs w:val="24"/>
        </w:rPr>
        <w:t xml:space="preserve"> Pagrindinio ugdymo pasiekimų patikrinimo organizavimo ir vykdymo tvarkos aprašą, patvirtintą Lietuvos Respublikos švietimo, mokslo ir sporto ministro 2011 m. gruodžio 30 d. įsakymu Nr. V-2558 „Dėl </w:t>
      </w:r>
      <w:r>
        <w:rPr>
          <w:szCs w:val="24"/>
        </w:rPr>
        <w:t>Pagrindinio ugdymo pasiekimų patikrinimo organizavimo ir vykdymo tvarkos aprašo patvirtinimo“:</w:t>
      </w:r>
    </w:p>
    <w:p w14:paraId="4AEFC77B" w14:textId="6E51AC3C" w:rsidR="00AB2E09" w:rsidRDefault="00634EBC">
      <w:pPr>
        <w:widowControl w:val="0"/>
        <w:ind w:firstLine="709"/>
        <w:jc w:val="both"/>
        <w:rPr>
          <w:szCs w:val="24"/>
          <w:lang w:eastAsia="lt-LT"/>
        </w:rPr>
      </w:pPr>
      <w:r>
        <w:rPr>
          <w:szCs w:val="24"/>
          <w:lang w:eastAsia="lt-LT"/>
        </w:rPr>
        <w:t>1</w:t>
      </w:r>
      <w:r>
        <w:rPr>
          <w:szCs w:val="24"/>
          <w:lang w:eastAsia="lt-LT"/>
        </w:rPr>
        <w:t>. Pakeičiu 12 punktą ir jį išdėstau taip:</w:t>
      </w:r>
    </w:p>
    <w:p w14:paraId="1602C372" w14:textId="74262AB4" w:rsidR="00AB2E09" w:rsidRDefault="00634EBC">
      <w:pPr>
        <w:ind w:firstLine="567"/>
        <w:jc w:val="both"/>
        <w:rPr>
          <w:szCs w:val="24"/>
          <w:lang w:eastAsia="lt-LT"/>
        </w:rPr>
      </w:pPr>
      <w:r>
        <w:t>„</w:t>
      </w:r>
      <w:r>
        <w:rPr>
          <w:szCs w:val="24"/>
        </w:rPr>
        <w:t>12</w:t>
      </w:r>
      <w:r>
        <w:rPr>
          <w:szCs w:val="24"/>
        </w:rPr>
        <w:t>.</w:t>
      </w:r>
      <w:r>
        <w:rPr>
          <w:szCs w:val="24"/>
          <w:lang w:eastAsia="lt-LT"/>
        </w:rPr>
        <w:t xml:space="preserve"> Mokinys ar buvęs mokinys, švietimo, mokslo ir sporto ministro patvirtintame pasiekimų patikrinimo tvarkaraš</w:t>
      </w:r>
      <w:r>
        <w:rPr>
          <w:szCs w:val="24"/>
          <w:lang w:eastAsia="lt-LT"/>
        </w:rPr>
        <w:t xml:space="preserve">tyje nustatytomis dienomis nedalyvavęs pasiekimų patikrinime dėl pateisinamos priežasties ar </w:t>
      </w:r>
      <w:r>
        <w:rPr>
          <w:szCs w:val="24"/>
        </w:rPr>
        <w:t>pagrindinėje sesijoje vykdyto pasiekimų patikrinimo metu nepasiekęs slenkstinio pasiekimų lygio</w:t>
      </w:r>
      <w:r>
        <w:rPr>
          <w:szCs w:val="24"/>
          <w:lang w:eastAsia="lt-LT"/>
        </w:rPr>
        <w:t>, mokyklos vadovui įsakymu leidus ir ne vėliau kaip per 2 darbo dien</w:t>
      </w:r>
      <w:r>
        <w:rPr>
          <w:szCs w:val="24"/>
          <w:lang w:eastAsia="lt-LT"/>
        </w:rPr>
        <w:t xml:space="preserve">as </w:t>
      </w:r>
      <w:r>
        <w:rPr>
          <w:szCs w:val="24"/>
        </w:rPr>
        <w:t>po pagrindinės sesijos pasiekimų patikrinimo dalyko rezultatų paskelbimo</w:t>
      </w:r>
      <w:r>
        <w:rPr>
          <w:szCs w:val="24"/>
          <w:lang w:eastAsia="lt-LT"/>
        </w:rPr>
        <w:t xml:space="preserve"> dienos atsakingam už duomenų perdavimą Nacionalinėje švietimo agentūroje asmeniui įregistravus Nacionalinės švietimo agentūros Nacionalinių egzaminų centralizuotoje informacinėje s</w:t>
      </w:r>
      <w:r>
        <w:rPr>
          <w:szCs w:val="24"/>
          <w:lang w:eastAsia="lt-LT"/>
        </w:rPr>
        <w:t>istemoje NECIS (toliau – informacinė sistema NECIS), dalyvauja pakartotiniame pasiekimų patikrinime</w:t>
      </w:r>
      <w:r>
        <w:rPr>
          <w:szCs w:val="24"/>
        </w:rPr>
        <w:t>. Mokiniai ir buvę mokiniai prašymų dėl pakartotinio pasiekimų patikrinimo laikymo mokyklos vadovui neteikia.</w:t>
      </w:r>
      <w:r>
        <w:t>“</w:t>
      </w:r>
    </w:p>
    <w:p w14:paraId="6234A166" w14:textId="1BFDD371" w:rsidR="00AB2E09" w:rsidRDefault="00634EBC">
      <w:pPr>
        <w:tabs>
          <w:tab w:val="left" w:pos="851"/>
        </w:tabs>
        <w:ind w:firstLine="709"/>
        <w:jc w:val="both"/>
        <w:rPr>
          <w:color w:val="000000"/>
          <w:szCs w:val="24"/>
          <w:lang w:eastAsia="lt-LT"/>
        </w:rPr>
      </w:pPr>
      <w:r>
        <w:rPr>
          <w:szCs w:val="24"/>
          <w:lang w:eastAsia="lt-LT"/>
        </w:rPr>
        <w:t>2</w:t>
      </w:r>
      <w:r>
        <w:rPr>
          <w:szCs w:val="24"/>
          <w:lang w:eastAsia="lt-LT"/>
        </w:rPr>
        <w:t xml:space="preserve">. </w:t>
      </w:r>
      <w:r>
        <w:rPr>
          <w:color w:val="000000"/>
          <w:szCs w:val="24"/>
          <w:lang w:eastAsia="lt-LT"/>
        </w:rPr>
        <w:t>Pakeičiu 28.5 papunktį ir jį išdėst</w:t>
      </w:r>
      <w:r>
        <w:rPr>
          <w:color w:val="000000"/>
          <w:szCs w:val="24"/>
          <w:lang w:eastAsia="lt-LT"/>
        </w:rPr>
        <w:t>au taip:</w:t>
      </w:r>
    </w:p>
    <w:p w14:paraId="148CB3C9" w14:textId="1A1704BC" w:rsidR="00AB2E09" w:rsidRDefault="00634EBC">
      <w:pPr>
        <w:ind w:firstLine="567"/>
        <w:jc w:val="both"/>
        <w:rPr>
          <w:color w:val="000000"/>
          <w:szCs w:val="24"/>
        </w:rPr>
      </w:pPr>
      <w:r>
        <w:rPr>
          <w:color w:val="000000"/>
        </w:rPr>
        <w:t>„</w:t>
      </w:r>
      <w:r>
        <w:rPr>
          <w:color w:val="000000"/>
          <w:szCs w:val="24"/>
        </w:rPr>
        <w:t>28.5</w:t>
      </w:r>
      <w:r>
        <w:rPr>
          <w:color w:val="000000"/>
          <w:szCs w:val="24"/>
        </w:rPr>
        <w:t>. iki kovo 31 dienos informacinėje sistemoje NECIS mokinius suskirsto į pagrindinės sesijos vykdymo protokolus. Per 5 darbo dienas po pagrindinės sesijos pasiekimų patikrinimo dalyko rezultatų paskelbimo dienos informacinėje sistemoje NECIS</w:t>
      </w:r>
      <w:r>
        <w:rPr>
          <w:color w:val="000000"/>
          <w:szCs w:val="24"/>
        </w:rPr>
        <w:t xml:space="preserve"> mokinius suskirsto į pakartotinės sesijos vykdymo protokolus;</w:t>
      </w:r>
      <w:r>
        <w:rPr>
          <w:color w:val="000000"/>
        </w:rPr>
        <w:t>“.</w:t>
      </w:r>
    </w:p>
    <w:p w14:paraId="36BC93DD" w14:textId="2A162E48" w:rsidR="00AB2E09" w:rsidRDefault="00634EBC">
      <w:pPr>
        <w:ind w:firstLine="709"/>
        <w:jc w:val="both"/>
        <w:textAlignment w:val="baseline"/>
        <w:rPr>
          <w:szCs w:val="24"/>
          <w:lang w:eastAsia="lt-LT"/>
        </w:rPr>
      </w:pPr>
      <w:r>
        <w:rPr>
          <w:color w:val="000000"/>
          <w:szCs w:val="24"/>
          <w:lang w:eastAsia="lt-LT"/>
        </w:rPr>
        <w:t>3</w:t>
      </w:r>
      <w:r>
        <w:rPr>
          <w:color w:val="000000"/>
          <w:szCs w:val="24"/>
          <w:lang w:eastAsia="lt-LT"/>
        </w:rPr>
        <w:t xml:space="preserve">. Pakeičiu 28.6 papunktį </w:t>
      </w:r>
      <w:r>
        <w:rPr>
          <w:szCs w:val="24"/>
          <w:lang w:eastAsia="lt-LT"/>
        </w:rPr>
        <w:t>ir jį išdėstau taip:</w:t>
      </w:r>
    </w:p>
    <w:p w14:paraId="4880F91D" w14:textId="70826ED3" w:rsidR="00AB2E09" w:rsidRDefault="00634EBC">
      <w:pPr>
        <w:ind w:firstLine="567"/>
        <w:jc w:val="both"/>
        <w:rPr>
          <w:szCs w:val="24"/>
        </w:rPr>
      </w:pPr>
      <w:r>
        <w:rPr>
          <w:shd w:val="clear" w:color="auto" w:fill="FFFFFF"/>
        </w:rPr>
        <w:t>„</w:t>
      </w:r>
      <w:r>
        <w:rPr>
          <w:szCs w:val="24"/>
        </w:rPr>
        <w:t>28.6</w:t>
      </w:r>
      <w:r>
        <w:rPr>
          <w:szCs w:val="24"/>
        </w:rPr>
        <w:t>. iki birželio 2 dienos informacinėje sistemoje NECIS nurodo mokinus ir buvusius mokinius, kurie dalyvaus pakartotiniame dalyko p</w:t>
      </w:r>
      <w:r>
        <w:rPr>
          <w:szCs w:val="24"/>
        </w:rPr>
        <w:t>asiekimų patikrinime;“.</w:t>
      </w:r>
    </w:p>
    <w:p w14:paraId="5C280B7D" w14:textId="2FCBFACC" w:rsidR="00AB2E09" w:rsidRDefault="00634EBC">
      <w:pPr>
        <w:ind w:firstLine="709"/>
        <w:jc w:val="both"/>
        <w:textAlignment w:val="baseline"/>
        <w:rPr>
          <w:szCs w:val="24"/>
          <w:shd w:val="clear" w:color="auto" w:fill="FFFFFF"/>
          <w:lang w:eastAsia="lt-LT"/>
        </w:rPr>
      </w:pPr>
      <w:r>
        <w:rPr>
          <w:szCs w:val="24"/>
          <w:shd w:val="clear" w:color="auto" w:fill="FFFFFF"/>
          <w:lang w:eastAsia="lt-LT"/>
        </w:rPr>
        <w:t>4</w:t>
      </w:r>
      <w:r>
        <w:rPr>
          <w:szCs w:val="24"/>
          <w:shd w:val="clear" w:color="auto" w:fill="FFFFFF"/>
          <w:lang w:eastAsia="lt-LT"/>
        </w:rPr>
        <w:t>. Pakeičiu 41 punktą ir jį išdėstau taip:</w:t>
      </w:r>
    </w:p>
    <w:p w14:paraId="09C1C6C4" w14:textId="71DD166B" w:rsidR="00AB2E09" w:rsidRDefault="00634EBC">
      <w:pPr>
        <w:tabs>
          <w:tab w:val="left" w:pos="1134"/>
        </w:tabs>
        <w:ind w:firstLine="851"/>
        <w:jc w:val="both"/>
        <w:rPr>
          <w:szCs w:val="24"/>
        </w:rPr>
      </w:pPr>
      <w:r>
        <w:t>„</w:t>
      </w:r>
      <w:r>
        <w:rPr>
          <w:szCs w:val="24"/>
          <w:lang w:eastAsia="lt-LT"/>
        </w:rPr>
        <w:t>41</w:t>
      </w:r>
      <w:r>
        <w:rPr>
          <w:szCs w:val="24"/>
          <w:lang w:eastAsia="lt-LT"/>
        </w:rPr>
        <w:t xml:space="preserve">. Vykdytoju negali būti skiriamas </w:t>
      </w:r>
      <w:r>
        <w:rPr>
          <w:szCs w:val="24"/>
        </w:rPr>
        <w:t xml:space="preserve">pasiekimų patikrinimo dalyko mokytojas, klasių kuratorius, mokytojas, vadovaujantis mokinių klasei, </w:t>
      </w:r>
      <w:r>
        <w:rPr>
          <w:szCs w:val="24"/>
          <w:lang w:eastAsia="lt-LT"/>
        </w:rPr>
        <w:t>asmuo, kurio šeimos nariai ar (ir) artimie</w:t>
      </w:r>
      <w:r>
        <w:rPr>
          <w:szCs w:val="24"/>
          <w:lang w:eastAsia="lt-LT"/>
        </w:rPr>
        <w:t>ji giminaičiai laiko pasiekimų patikrinimą.</w:t>
      </w:r>
      <w:r>
        <w:rPr>
          <w:bdr w:val="none" w:sz="0" w:space="0" w:color="auto" w:frame="1"/>
        </w:rPr>
        <w:t>“</w:t>
      </w:r>
    </w:p>
    <w:p w14:paraId="5DC3ECB0" w14:textId="5950872C" w:rsidR="00AB2E09" w:rsidRDefault="00634EBC">
      <w:pPr>
        <w:ind w:firstLine="709"/>
        <w:jc w:val="both"/>
        <w:textAlignment w:val="baseline"/>
        <w:rPr>
          <w:szCs w:val="24"/>
          <w:shd w:val="clear" w:color="auto" w:fill="FFFFFF"/>
          <w:lang w:eastAsia="lt-LT"/>
        </w:rPr>
      </w:pPr>
      <w:r>
        <w:rPr>
          <w:szCs w:val="24"/>
          <w:shd w:val="clear" w:color="auto" w:fill="FFFFFF"/>
          <w:lang w:eastAsia="lt-LT"/>
        </w:rPr>
        <w:t>5</w:t>
      </w:r>
      <w:r>
        <w:rPr>
          <w:szCs w:val="24"/>
          <w:shd w:val="clear" w:color="auto" w:fill="FFFFFF"/>
          <w:lang w:eastAsia="lt-LT"/>
        </w:rPr>
        <w:t>. Pakeičiu 52 punktą ir jį išdėstau taip:</w:t>
      </w:r>
    </w:p>
    <w:p w14:paraId="2EC030BF" w14:textId="5B67558C" w:rsidR="00AB2E09" w:rsidRDefault="00634EBC">
      <w:pPr>
        <w:tabs>
          <w:tab w:val="left" w:pos="1276"/>
          <w:tab w:val="left" w:pos="1418"/>
          <w:tab w:val="left" w:pos="2268"/>
          <w:tab w:val="left" w:pos="2552"/>
        </w:tabs>
        <w:ind w:firstLine="567"/>
        <w:jc w:val="both"/>
        <w:rPr>
          <w:szCs w:val="24"/>
          <w:lang w:eastAsia="lt-LT"/>
        </w:rPr>
      </w:pPr>
      <w:r>
        <w:t>„</w:t>
      </w:r>
      <w:r>
        <w:rPr>
          <w:szCs w:val="24"/>
          <w:lang w:eastAsia="lt-LT"/>
        </w:rPr>
        <w:t>52</w:t>
      </w:r>
      <w:r>
        <w:rPr>
          <w:szCs w:val="24"/>
          <w:lang w:eastAsia="lt-LT"/>
        </w:rPr>
        <w:t>. Pasiekimų patikrinimo vykdymo, vertinimo ir rezultatų protokolai (kai pasiekimų patikrinimas vykdomas tradiciniu būdu) saugomi mokyklose, vadovaujantis I</w:t>
      </w:r>
      <w:r>
        <w:rPr>
          <w:szCs w:val="24"/>
          <w:lang w:eastAsia="lt-LT"/>
        </w:rPr>
        <w:t xml:space="preserve">kimokyklinio, priešmokyklinio, bendrojo ugdymo, kito vaikų neformaliojo ugdymo švietimo programas vykdančių švietimo įstaigų veiklos dokumentų saugojimo terminų rodykle, patvirtinta Lietuvos Respublikos švietimo, mokslo ir sporto ministro 2019 m. gruodžio </w:t>
      </w:r>
      <w:r>
        <w:rPr>
          <w:szCs w:val="24"/>
          <w:lang w:eastAsia="lt-LT"/>
        </w:rPr>
        <w:t xml:space="preserve">18 d. įsakymu Nr. V-1511 „Dėl Ikimokyklinio, </w:t>
      </w:r>
      <w:r>
        <w:rPr>
          <w:szCs w:val="24"/>
          <w:lang w:eastAsia="lt-LT"/>
        </w:rPr>
        <w:lastRenderedPageBreak/>
        <w:t>priešmokyklinio, bendrojo ugdymo, kito vaikų neformaliojo ugdymo švietimo programas vykdančių švietimo įstaigų veiklos dokumentų saugojimo terminų rodyklės patvirtinimo.“</w:t>
      </w:r>
    </w:p>
    <w:p w14:paraId="4EE5C4B0" w14:textId="4BC7951D" w:rsidR="00AB2E09" w:rsidRDefault="00634EBC">
      <w:pPr>
        <w:ind w:firstLine="709"/>
        <w:jc w:val="both"/>
        <w:textAlignment w:val="baseline"/>
        <w:rPr>
          <w:szCs w:val="24"/>
          <w:shd w:val="clear" w:color="auto" w:fill="FFFFFF"/>
          <w:lang w:eastAsia="lt-LT"/>
        </w:rPr>
      </w:pPr>
      <w:r>
        <w:rPr>
          <w:szCs w:val="24"/>
          <w:shd w:val="clear" w:color="auto" w:fill="FFFFFF"/>
          <w:lang w:eastAsia="lt-LT"/>
        </w:rPr>
        <w:t>6</w:t>
      </w:r>
      <w:r>
        <w:rPr>
          <w:szCs w:val="24"/>
          <w:shd w:val="clear" w:color="auto" w:fill="FFFFFF"/>
          <w:lang w:eastAsia="lt-LT"/>
        </w:rPr>
        <w:t>. Pakeičiu 53 punktą ir jį išdėstau</w:t>
      </w:r>
      <w:r>
        <w:rPr>
          <w:szCs w:val="24"/>
          <w:shd w:val="clear" w:color="auto" w:fill="FFFFFF"/>
          <w:lang w:eastAsia="lt-LT"/>
        </w:rPr>
        <w:t xml:space="preserve"> taip:</w:t>
      </w:r>
    </w:p>
    <w:p w14:paraId="28A2FE4F" w14:textId="1A33E719" w:rsidR="00AB2E09" w:rsidRDefault="00634EBC">
      <w:pPr>
        <w:ind w:firstLine="709"/>
        <w:jc w:val="both"/>
        <w:textAlignment w:val="baseline"/>
        <w:rPr>
          <w:szCs w:val="24"/>
          <w:shd w:val="clear" w:color="auto" w:fill="FFFFFF"/>
          <w:lang w:eastAsia="lt-LT"/>
        </w:rPr>
      </w:pPr>
      <w:r>
        <w:rPr>
          <w:szCs w:val="24"/>
          <w:shd w:val="clear" w:color="auto" w:fill="FFFFFF"/>
          <w:lang w:eastAsia="lt-LT"/>
        </w:rPr>
        <w:t>„</w:t>
      </w:r>
      <w:r>
        <w:rPr>
          <w:szCs w:val="24"/>
          <w:lang w:eastAsia="lt-LT"/>
        </w:rPr>
        <w:t>53</w:t>
      </w:r>
      <w:r>
        <w:rPr>
          <w:szCs w:val="24"/>
          <w:lang w:eastAsia="lt-LT"/>
        </w:rPr>
        <w:t>. Nepanaudotos užduotys ir vokai saugomi mokykloje iki vertinimo komisijos darbo pabaigos.“</w:t>
      </w:r>
    </w:p>
    <w:p w14:paraId="7E1E6898" w14:textId="07C93DDC" w:rsidR="00AB2E09" w:rsidRDefault="00634EBC">
      <w:pPr>
        <w:ind w:firstLine="709"/>
        <w:jc w:val="both"/>
        <w:textAlignment w:val="baseline"/>
        <w:rPr>
          <w:szCs w:val="24"/>
          <w:shd w:val="clear" w:color="auto" w:fill="FFFFFF"/>
          <w:lang w:eastAsia="lt-LT"/>
        </w:rPr>
      </w:pPr>
      <w:r>
        <w:rPr>
          <w:szCs w:val="24"/>
          <w:shd w:val="clear" w:color="auto" w:fill="FFFFFF"/>
          <w:lang w:eastAsia="lt-LT"/>
        </w:rPr>
        <w:t>7</w:t>
      </w:r>
      <w:r>
        <w:rPr>
          <w:szCs w:val="24"/>
          <w:shd w:val="clear" w:color="auto" w:fill="FFFFFF"/>
          <w:lang w:eastAsia="lt-LT"/>
        </w:rPr>
        <w:t>. Pakeičiu 59 punktą ir jį išdėstau taip:</w:t>
      </w:r>
    </w:p>
    <w:p w14:paraId="134B15F6" w14:textId="2ED832B4" w:rsidR="00AB2E09" w:rsidRDefault="00634EBC">
      <w:pPr>
        <w:tabs>
          <w:tab w:val="left" w:pos="1276"/>
          <w:tab w:val="left" w:pos="1418"/>
          <w:tab w:val="left" w:pos="2268"/>
          <w:tab w:val="left" w:pos="2552"/>
        </w:tabs>
        <w:ind w:firstLine="567"/>
        <w:jc w:val="both"/>
        <w:rPr>
          <w:szCs w:val="24"/>
          <w:lang w:eastAsia="lt-LT"/>
        </w:rPr>
      </w:pPr>
      <w:r>
        <w:rPr>
          <w:shd w:val="clear" w:color="auto" w:fill="FFFFFF"/>
        </w:rPr>
        <w:t>„</w:t>
      </w:r>
      <w:r>
        <w:rPr>
          <w:szCs w:val="24"/>
        </w:rPr>
        <w:t>59</w:t>
      </w:r>
      <w:r>
        <w:rPr>
          <w:szCs w:val="24"/>
        </w:rPr>
        <w:t>. Vertinimo komisijos pirmininku skiriamas pasiekimų patikrinimo dalyko specialistas (direktoriaus</w:t>
      </w:r>
      <w:r>
        <w:rPr>
          <w:szCs w:val="24"/>
        </w:rPr>
        <w:t xml:space="preserve"> pavaduotojas, skyriaus vedėjas ar mokytojas). Vertinimo komisijos pirmininkas koordinuoja komisijos darbą, konsultuoja vertintojus, sprendžia iškylančias problemas, priima sprendimus. Nacionalinės švietimo agentūros direktoriaus tvirtinamame Pagrindinio u</w:t>
      </w:r>
      <w:r>
        <w:rPr>
          <w:szCs w:val="24"/>
        </w:rPr>
        <w:t xml:space="preserve">gdymo pasiekimų patikrinimo vertinimo reglamente (toliau – vertinimo reglamentas) gali būti nustatytas pakartotinis įvertintų darbų vertinimas, įvertintų darbų atrankos pakartotiniam vertinimui tvarka. Jeigu pasiekimų patikrinimas buvo vykdomas tradiciniu </w:t>
      </w:r>
      <w:r>
        <w:rPr>
          <w:szCs w:val="24"/>
        </w:rPr>
        <w:t>būdu, vertinimas vykdomas tradiciniu būdu. Jeigu pasiekimų patikrinimas buvo vykdomas elektroniniu ar nuotoliniu elektroniniu būdu, vertinimas vykdomas elektroniniu ar nuotoliniu elektroniniu būdu. Jeigu pasiekimų patikrinimas buvo vykdomas nuotoliniu būdu</w:t>
      </w:r>
      <w:r>
        <w:rPr>
          <w:szCs w:val="24"/>
        </w:rPr>
        <w:t>, kokiu būdu vykdomas vertinimas – tradiciniu ar nuotoliniu, – sprendžia mokyklos vadovas. Vertinimo komisijoje negali būti asmenų, turinčių privačių interesų dėl vertinamų artimųjų giminaičių ar pavienių mokinių ar buvusių mokinių pasiekimų patikrinimo re</w:t>
      </w:r>
      <w:r>
        <w:rPr>
          <w:szCs w:val="24"/>
        </w:rPr>
        <w:t>zultatų. Mokytoją į vertinimo komisiją skiria ir pasirašytinai supažindina su Aprašu jo darbdavys, iki sudarant vertinimo komisiją.</w:t>
      </w:r>
      <w:r>
        <w:rPr>
          <w:shd w:val="clear" w:color="auto" w:fill="FFFFFF"/>
        </w:rPr>
        <w:t>“</w:t>
      </w:r>
    </w:p>
    <w:p w14:paraId="34A84271" w14:textId="753E91CB" w:rsidR="00AB2E09" w:rsidRDefault="00634EBC">
      <w:pPr>
        <w:ind w:firstLine="709"/>
        <w:jc w:val="both"/>
        <w:textAlignment w:val="baseline"/>
        <w:rPr>
          <w:szCs w:val="24"/>
          <w:shd w:val="clear" w:color="auto" w:fill="FFFFFF"/>
          <w:lang w:eastAsia="lt-LT"/>
        </w:rPr>
      </w:pPr>
      <w:r>
        <w:rPr>
          <w:szCs w:val="24"/>
          <w:shd w:val="clear" w:color="auto" w:fill="FFFFFF"/>
          <w:lang w:eastAsia="lt-LT"/>
        </w:rPr>
        <w:t>8</w:t>
      </w:r>
      <w:r>
        <w:rPr>
          <w:szCs w:val="24"/>
          <w:shd w:val="clear" w:color="auto" w:fill="FFFFFF"/>
          <w:lang w:eastAsia="lt-LT"/>
        </w:rPr>
        <w:t>. Pakeičiu 62 punktą ir jį išdėstau taip:</w:t>
      </w:r>
    </w:p>
    <w:p w14:paraId="4F8C4913" w14:textId="06C19A5A" w:rsidR="00AB2E09" w:rsidRDefault="00634EBC">
      <w:pPr>
        <w:widowControl w:val="0"/>
        <w:tabs>
          <w:tab w:val="left" w:pos="567"/>
          <w:tab w:val="left" w:pos="1276"/>
        </w:tabs>
        <w:ind w:firstLine="567"/>
        <w:jc w:val="both"/>
      </w:pPr>
      <w:r>
        <w:t>„</w:t>
      </w:r>
      <w:r>
        <w:rPr>
          <w:szCs w:val="24"/>
        </w:rPr>
        <w:t>62</w:t>
      </w:r>
      <w:r>
        <w:rPr>
          <w:szCs w:val="24"/>
        </w:rPr>
        <w:t xml:space="preserve">. Mokyklos vadovo įsakymu sudaryta vertinimo komisija matematikos pasiekimų patikrinimo darbus vertina 7 darbo dienas, lietuvių kalbos ir literatūros – 12 darbo dienų, </w:t>
      </w:r>
      <w:r>
        <w:rPr>
          <w:szCs w:val="24"/>
          <w:lang w:eastAsia="lt-LT"/>
        </w:rPr>
        <w:t>baltarusių tautinės mažumos gimtosios kalbos ir literatūros, lenkų tautinės mažumos gimt</w:t>
      </w:r>
      <w:r>
        <w:rPr>
          <w:szCs w:val="24"/>
          <w:lang w:eastAsia="lt-LT"/>
        </w:rPr>
        <w:t xml:space="preserve">osios kalbos ir literatūros, rusų tautinės mažumos gimtosios kalbos ir literatūros, </w:t>
      </w:r>
      <w:r>
        <w:rPr>
          <w:szCs w:val="24"/>
        </w:rPr>
        <w:t>vokiečių tautinės mažumos gimtosios kalbos ir literatūros pasiekimų patikrinimo darbus vertina 10 darbo dienų. Nacionalinė švietimo agentūra vertinimo procese gali laikinai</w:t>
      </w:r>
      <w:r>
        <w:rPr>
          <w:szCs w:val="24"/>
        </w:rPr>
        <w:t xml:space="preserve"> (iki 6 darbo dienų) paimti vertinti iš mokyklų pasiekimų patikrinimo įvertintus mokinių ir buvusių mokinių darbus. Kai pasiekimų patikrinimas vykdomas nuotoliniu elektroniniu būdu, atrinktų mokyklų mokinių ir buvusių mokinių darbai vertinami ir įvertinima</w:t>
      </w:r>
      <w:r>
        <w:rPr>
          <w:szCs w:val="24"/>
        </w:rPr>
        <w:t>i rašomi nuotoliniu elektroniniu būdu. Nacionalinės švietimo agentūros direktoriaus įsakymu sudarytos dalykų vertinimo komisijos elektroninėje vertinimo sistemoje atrinktus taškais įvertintus darbus vertina iš naujo. Šios komisijos atlikto vertinimo rezult</w:t>
      </w:r>
      <w:r>
        <w:rPr>
          <w:szCs w:val="24"/>
        </w:rPr>
        <w:t>atai per informacinę sistemą NECIS teikiami mokyklos vadovo įsakymu sudarytos vertinimo komisijos pirmininkui ne vėliau kaip likus dviem darbo dienoms iki šiame punkte nustatytos darbų vertinimo pabaigos. Galutinį sprendimą dėl darbo įvertinimo priima moky</w:t>
      </w:r>
      <w:r>
        <w:rPr>
          <w:szCs w:val="24"/>
        </w:rPr>
        <w:t>klos vadovo įsakymu sudarytos vertinimo komisijos pirmininkas, patvirtindamas rezultatų protokolą. Mokinio ir buvusio mokinio darbo įvertinimui tarp Nacionalinės švietimo agentūros direktoriaus įsakymu sudarytos dalykų vertinimo komisijos pasiūlyto ir moky</w:t>
      </w:r>
      <w:r>
        <w:rPr>
          <w:szCs w:val="24"/>
        </w:rPr>
        <w:t>klos vadovo įsakymu sudarytos vertinimo komisijos pirmininko sprendimo skiriantis daugiau kaip 10 procentų taškų – mokyklos vadovo įsakymu sudarytos vertinimo komisijos pirmininkas per 5 darbo dienas nuo rezultatų protokolo patvirtinimo teikia Nacionalinei</w:t>
      </w:r>
      <w:r>
        <w:rPr>
          <w:szCs w:val="24"/>
        </w:rPr>
        <w:t xml:space="preserve"> švietimo agentūrai motyvuotą savo sprendimo pagrindimą.</w:t>
      </w:r>
      <w:r>
        <w:t>“</w:t>
      </w:r>
    </w:p>
    <w:p w14:paraId="60DA0D75" w14:textId="1A7618E8" w:rsidR="00AB2E09" w:rsidRDefault="00634EBC">
      <w:pPr>
        <w:ind w:firstLine="709"/>
        <w:jc w:val="both"/>
        <w:textAlignment w:val="baseline"/>
        <w:rPr>
          <w:szCs w:val="24"/>
          <w:shd w:val="clear" w:color="auto" w:fill="FFFFFF"/>
          <w:lang w:eastAsia="lt-LT"/>
        </w:rPr>
      </w:pPr>
      <w:r>
        <w:rPr>
          <w:szCs w:val="24"/>
          <w:shd w:val="clear" w:color="auto" w:fill="FFFFFF"/>
          <w:lang w:eastAsia="lt-LT"/>
        </w:rPr>
        <w:t>9</w:t>
      </w:r>
      <w:r>
        <w:rPr>
          <w:szCs w:val="24"/>
          <w:shd w:val="clear" w:color="auto" w:fill="FFFFFF"/>
          <w:lang w:eastAsia="lt-LT"/>
        </w:rPr>
        <w:t>. Pakeičiu 64 punktą ir jį išdėstau taip:</w:t>
      </w:r>
    </w:p>
    <w:p w14:paraId="64C5E796" w14:textId="647F9E4E" w:rsidR="00AB2E09" w:rsidRDefault="00634EBC">
      <w:pPr>
        <w:widowControl w:val="0"/>
        <w:tabs>
          <w:tab w:val="left" w:pos="567"/>
          <w:tab w:val="left" w:pos="1276"/>
        </w:tabs>
        <w:ind w:firstLine="567"/>
        <w:jc w:val="both"/>
      </w:pPr>
      <w:r>
        <w:t>„</w:t>
      </w:r>
      <w:r>
        <w:t>64</w:t>
      </w:r>
      <w:r>
        <w:t>. Vertinimo metu kilus įtarimui dėl mokinio ar buvusio mokinio nesavarankiško užduočių raštu atlikimo, pašalinės pagalbos naudojimo, mokinio a</w:t>
      </w:r>
      <w:r>
        <w:t>r buvusio mokinio darbas perduodamas vertinimo komisijos pirmininkui. Vertinimo komisijos pirmininkas, nustatęs, kad kelių mokinių ar buvusių mokinių pasiekimų patikrinimo užduotis atlikta identiškai, buvo naudotasi pašaline pagalba, kreipiasi į Nacionalin</w:t>
      </w:r>
      <w:r>
        <w:t>ę švietimo agentūrą, kad šių mokinių ir buvusių mokinių darbai būtų dekoduoti. Išanalizavęs vykdymo protokolus, vertintojų pateiktą informaciją, dekoduotus darbus, priima motyvuotą sprendimą dėl visų perduotų darbų ar jų dalies, dėl viso darbo ar jo dalies</w:t>
      </w:r>
      <w:r>
        <w:t xml:space="preserve"> </w:t>
      </w:r>
      <w:proofErr w:type="spellStart"/>
      <w:r>
        <w:t>nevertinimo</w:t>
      </w:r>
      <w:proofErr w:type="spellEnd"/>
      <w:r>
        <w:t xml:space="preserve"> ir apie tai surašo laisvos formos aktą. Vertinimo komisijos pirmininkas, gavęs vyresniojo vykdytojo perduotus užpildytus vykdymo protokolus su šio Aprašo 49.10 papunktyje įvardytais laisvos formos aktais, kreipiasi į Nacionalinę švietimo agent</w:t>
      </w:r>
      <w:r>
        <w:t xml:space="preserve">ūrą, kad šių mokinių ir buvusių mokinių darbai būtų dekoduoti. Išanalizavęs vykdymo protokolus, vykdytojų surašytus laisvos formos aktus, dekoduotus darbus, priima motyvuotą sprendimą dėl visų įvardytų darbų ar jų dalies, dėl viso darbo ar jo dalies </w:t>
      </w:r>
      <w:proofErr w:type="spellStart"/>
      <w:r>
        <w:t>nevert</w:t>
      </w:r>
      <w:r>
        <w:t>inimo</w:t>
      </w:r>
      <w:proofErr w:type="spellEnd"/>
      <w:r>
        <w:t xml:space="preserve"> ir apie tai surašo laisvos formos aktą. Savo sprendimą jis įrašo elektroninėje vertinimo sistemoje, vertinimo ar rezultatų protokole. Kai nevertinamas visas darbas – įrašoma, kad „Darbas nevertintas“, kai nevertinama darbo dalis – įrašomas vertintos </w:t>
      </w:r>
      <w:r>
        <w:t>darbo dalies įvertinimas taškais. Aktas perduodamas mokyklos vadovui kartu su taškų suvestine, vertinimo ar rezultatų protokolais.“</w:t>
      </w:r>
    </w:p>
    <w:p w14:paraId="3F792F58" w14:textId="0E26EC63" w:rsidR="00AB2E09" w:rsidRDefault="00634EBC">
      <w:pPr>
        <w:ind w:firstLine="709"/>
        <w:jc w:val="both"/>
        <w:textAlignment w:val="baseline"/>
        <w:rPr>
          <w:szCs w:val="24"/>
          <w:shd w:val="clear" w:color="auto" w:fill="FFFFFF"/>
          <w:lang w:eastAsia="lt-LT"/>
        </w:rPr>
      </w:pPr>
      <w:r>
        <w:rPr>
          <w:szCs w:val="24"/>
          <w:shd w:val="clear" w:color="auto" w:fill="FFFFFF"/>
          <w:lang w:eastAsia="lt-LT"/>
        </w:rPr>
        <w:t>10</w:t>
      </w:r>
      <w:r>
        <w:rPr>
          <w:szCs w:val="24"/>
          <w:shd w:val="clear" w:color="auto" w:fill="FFFFFF"/>
          <w:lang w:eastAsia="lt-LT"/>
        </w:rPr>
        <w:t>. Pakeičiu 65 punktą ir jį išdėstau taip:</w:t>
      </w:r>
    </w:p>
    <w:p w14:paraId="10C31ED9" w14:textId="30621646" w:rsidR="00AB2E09" w:rsidRDefault="00634EBC">
      <w:pPr>
        <w:widowControl w:val="0"/>
        <w:tabs>
          <w:tab w:val="left" w:pos="1276"/>
        </w:tabs>
        <w:ind w:firstLine="567"/>
        <w:jc w:val="both"/>
        <w:rPr>
          <w:szCs w:val="24"/>
        </w:rPr>
      </w:pPr>
      <w:r>
        <w:rPr>
          <w:shd w:val="clear" w:color="auto" w:fill="FFFFFF"/>
        </w:rPr>
        <w:t>„</w:t>
      </w:r>
      <w:r>
        <w:rPr>
          <w:szCs w:val="24"/>
        </w:rPr>
        <w:t>65</w:t>
      </w:r>
      <w:r>
        <w:rPr>
          <w:szCs w:val="24"/>
        </w:rPr>
        <w:t>. Pasibaigus pasiekimų patikrinimui, vertinimo komisijos pirmininka</w:t>
      </w:r>
      <w:r>
        <w:rPr>
          <w:szCs w:val="24"/>
        </w:rPr>
        <w:t>s rezultatų protokole patikrina mokinių ir buvusių mokinių surinktų taškų sumą ir įvertinimą balu, vadovaudamasis pasiekimų patikrinimo dalyko užduoties apraše pateikta užduoties taškų ir įvertinimo balais atitikties lentele.“</w:t>
      </w:r>
    </w:p>
    <w:p w14:paraId="39CE68AD" w14:textId="73C46AE8" w:rsidR="00AB2E09" w:rsidRDefault="00634EBC">
      <w:pPr>
        <w:ind w:firstLine="709"/>
        <w:jc w:val="both"/>
        <w:textAlignment w:val="baseline"/>
        <w:rPr>
          <w:szCs w:val="24"/>
          <w:shd w:val="clear" w:color="auto" w:fill="FFFFFF"/>
          <w:lang w:eastAsia="lt-LT"/>
        </w:rPr>
      </w:pPr>
      <w:r>
        <w:rPr>
          <w:szCs w:val="24"/>
          <w:shd w:val="clear" w:color="auto" w:fill="FFFFFF"/>
          <w:lang w:eastAsia="lt-LT"/>
        </w:rPr>
        <w:t>11</w:t>
      </w:r>
      <w:r>
        <w:rPr>
          <w:szCs w:val="24"/>
          <w:shd w:val="clear" w:color="auto" w:fill="FFFFFF"/>
          <w:lang w:eastAsia="lt-LT"/>
        </w:rPr>
        <w:t>. Pakeičiu 66 punkt</w:t>
      </w:r>
      <w:r>
        <w:rPr>
          <w:szCs w:val="24"/>
          <w:shd w:val="clear" w:color="auto" w:fill="FFFFFF"/>
          <w:lang w:eastAsia="lt-LT"/>
        </w:rPr>
        <w:t>ą ir jį išdėstau taip:</w:t>
      </w:r>
    </w:p>
    <w:p w14:paraId="5A516C9F" w14:textId="13F6D7C8" w:rsidR="00AB2E09" w:rsidRDefault="00634EBC">
      <w:pPr>
        <w:widowControl w:val="0"/>
        <w:tabs>
          <w:tab w:val="left" w:pos="1276"/>
        </w:tabs>
        <w:ind w:firstLine="567"/>
        <w:jc w:val="both"/>
        <w:rPr>
          <w:szCs w:val="24"/>
        </w:rPr>
      </w:pPr>
      <w:r>
        <w:rPr>
          <w:shd w:val="clear" w:color="auto" w:fill="FFFFFF"/>
        </w:rPr>
        <w:t>„</w:t>
      </w:r>
      <w:r>
        <w:rPr>
          <w:szCs w:val="24"/>
        </w:rPr>
        <w:t>66</w:t>
      </w:r>
      <w:r>
        <w:rPr>
          <w:szCs w:val="24"/>
        </w:rPr>
        <w:t>. Kai pasiekimų patikrinimas vykdomas tradiciniu būdu, vertinimo komisijos pirmininkas vertinimo protokolą perduoda atsakingam asmeniui, kuris informacinėje sistemoje NECIS užpildo pasiekimų patikrinimo vertinimo protokolą ir pa</w:t>
      </w:r>
      <w:r>
        <w:rPr>
          <w:szCs w:val="24"/>
        </w:rPr>
        <w:t>teikia patikrinti vertinimo komisijos pirmininkui. Vertinimo komisijos pirmininkui sutikus, jis patvirtina rezultatus informacinėje sistemoje NECIS ir iš jos išspausdina pasiekimų patikrinimo rezultatų protokolą. Kai matematikos dalyko pasiekimų patikrinim</w:t>
      </w:r>
      <w:r>
        <w:rPr>
          <w:szCs w:val="24"/>
        </w:rPr>
        <w:t xml:space="preserve">as vykdomas nuotoliniu elektroniniu ar elektroniniu būdu, rezultatai iš elektroninės vertinimo sistemos perkeliami į informacinę sistemą NECIS. Vertinimo komisijos pirmininkas savo parašu patvirtina išspausdintą rezultatų protokolą. Kai lietuvių kalbos ir </w:t>
      </w:r>
      <w:r>
        <w:rPr>
          <w:szCs w:val="24"/>
        </w:rPr>
        <w:t xml:space="preserve">literatūros, </w:t>
      </w:r>
      <w:r>
        <w:rPr>
          <w:szCs w:val="24"/>
          <w:lang w:eastAsia="lt-LT"/>
        </w:rPr>
        <w:t xml:space="preserve">baltarusių tautinės mažumos gimtosios kalbos ir literatūros, lenkų tautinės mažumos gimtosios kalbos ir literatūros, rusų tautinės mažumos gimtosios kalbos ir literatūros, </w:t>
      </w:r>
      <w:r>
        <w:rPr>
          <w:szCs w:val="24"/>
        </w:rPr>
        <w:t>vokiečių tautinės mažumos gimtosios kalbos ir literatūros pasiekimų pat</w:t>
      </w:r>
      <w:r>
        <w:rPr>
          <w:szCs w:val="24"/>
        </w:rPr>
        <w:t>ikrinimas vykdomas nuotoliniu elektroniniu ar elektroniniu būdu, rezultatai iš elektroninės vertinimo sistemos perkeliami į informacinę sistemą NECIS. Vertinimo komisijos pirmininkas patikrina vertinimo protokolą ir patvirtina savo parašu. Parašu patvirtin</w:t>
      </w:r>
      <w:r>
        <w:rPr>
          <w:szCs w:val="24"/>
        </w:rPr>
        <w:t>tas pasiekimų patikrinimo rezultatų protokolas perduodamas mokyklos vadovui.“</w:t>
      </w:r>
    </w:p>
    <w:p w14:paraId="43E9633B" w14:textId="105B512D" w:rsidR="00AB2E09" w:rsidRDefault="00634EBC">
      <w:pPr>
        <w:ind w:firstLine="709"/>
        <w:jc w:val="both"/>
        <w:textAlignment w:val="baseline"/>
        <w:rPr>
          <w:szCs w:val="24"/>
          <w:shd w:val="clear" w:color="auto" w:fill="FFFFFF"/>
          <w:lang w:eastAsia="lt-LT"/>
        </w:rPr>
      </w:pPr>
      <w:r>
        <w:rPr>
          <w:szCs w:val="24"/>
          <w:shd w:val="clear" w:color="auto" w:fill="FFFFFF"/>
          <w:lang w:eastAsia="lt-LT"/>
        </w:rPr>
        <w:t>12</w:t>
      </w:r>
      <w:r>
        <w:rPr>
          <w:szCs w:val="24"/>
          <w:shd w:val="clear" w:color="auto" w:fill="FFFFFF"/>
          <w:lang w:eastAsia="lt-LT"/>
        </w:rPr>
        <w:t>. Pakeičiu 71 punktą ir jį išdėstau taip:</w:t>
      </w:r>
    </w:p>
    <w:p w14:paraId="61C61D16" w14:textId="618C8BE9" w:rsidR="00AB2E09" w:rsidRDefault="00634EBC" w:rsidP="00634EBC">
      <w:pPr>
        <w:ind w:firstLine="567"/>
        <w:jc w:val="both"/>
        <w:textAlignment w:val="baseline"/>
        <w:rPr>
          <w:szCs w:val="24"/>
          <w:lang w:eastAsia="lt-LT"/>
        </w:rPr>
      </w:pPr>
      <w:r>
        <w:rPr>
          <w:shd w:val="clear" w:color="auto" w:fill="FFFFFF"/>
        </w:rPr>
        <w:t>„</w:t>
      </w:r>
      <w:r>
        <w:rPr>
          <w:szCs w:val="24"/>
        </w:rPr>
        <w:t>71</w:t>
      </w:r>
      <w:r>
        <w:rPr>
          <w:szCs w:val="24"/>
        </w:rPr>
        <w:t xml:space="preserve">. </w:t>
      </w:r>
      <w:r>
        <w:rPr>
          <w:color w:val="000000"/>
          <w:szCs w:val="24"/>
          <w:bdr w:val="none" w:sz="0" w:space="0" w:color="auto" w:frame="1"/>
          <w:lang w:eastAsia="lt-LT"/>
        </w:rPr>
        <w:t>Mokiniai ir buvę mokiniai per 3 darbo dienas nuo rezultatų paskelbimo dienos pasirašytinai ar elektroniniu būdu supažindinami su pasiekimų patikrinimo rezultatais. Mokinys ar buvęs mokinys, dalyvaujant mokyklos atstovui (klasės kuratoriui, vienam iš dalyko</w:t>
      </w:r>
      <w:r>
        <w:rPr>
          <w:color w:val="000000"/>
          <w:szCs w:val="24"/>
          <w:bdr w:val="none" w:sz="0" w:space="0" w:color="auto" w:frame="1"/>
          <w:lang w:eastAsia="lt-LT"/>
        </w:rPr>
        <w:t xml:space="preserve"> vertinimo komisijos narių ar kt.), turi teisę susipažinti su pasiekimų patikrinimo, vykdyto tradiciniu ar nuotoliniu būdu, darbu, o su pasiekimų patikrin</w:t>
      </w:r>
      <w:bookmarkStart w:id="0" w:name="_GoBack"/>
      <w:bookmarkEnd w:id="0"/>
      <w:r>
        <w:rPr>
          <w:color w:val="000000"/>
          <w:szCs w:val="24"/>
          <w:bdr w:val="none" w:sz="0" w:space="0" w:color="auto" w:frame="1"/>
          <w:lang w:eastAsia="lt-LT"/>
        </w:rPr>
        <w:t>imo, vykdyto nuotoliniu elektroniniu būdu, – išrašu iš elektroninės testavimo sistemos su pateiktais m</w:t>
      </w:r>
      <w:r>
        <w:rPr>
          <w:color w:val="000000"/>
          <w:szCs w:val="24"/>
          <w:bdr w:val="none" w:sz="0" w:space="0" w:color="auto" w:frame="1"/>
          <w:lang w:eastAsia="lt-LT"/>
        </w:rPr>
        <w:t xml:space="preserve">okinio ar buvusio mokinio užduoties atsakymais. Mokiniui ar buvusiam mokiniui pageidaujant, atiduodamas išrašo iš elektroninės testavimo sistemos su pateiktais mokinio ar buvusio mokinio užduoties atsakymais spausdintas arba elektroninis </w:t>
      </w:r>
      <w:r>
        <w:rPr>
          <w:color w:val="000000"/>
          <w:szCs w:val="24"/>
          <w:lang w:eastAsia="lt-LT"/>
        </w:rPr>
        <w:t>variantas.</w:t>
      </w:r>
      <w:r>
        <w:rPr>
          <w:szCs w:val="24"/>
        </w:rPr>
        <w:t xml:space="preserve"> </w:t>
      </w:r>
      <w:r>
        <w:rPr>
          <w:szCs w:val="24"/>
          <w:shd w:val="clear" w:color="auto" w:fill="FFFFFF"/>
        </w:rPr>
        <w:t>Prašyma</w:t>
      </w:r>
      <w:r>
        <w:rPr>
          <w:szCs w:val="24"/>
          <w:shd w:val="clear" w:color="auto" w:fill="FFFFFF"/>
        </w:rPr>
        <w:t xml:space="preserve">i dėl pakartotinio pasiekimų patikrinimo užduoties įvertinimo </w:t>
      </w:r>
      <w:r>
        <w:rPr>
          <w:szCs w:val="24"/>
        </w:rPr>
        <w:t>nėra teikiami (nagrinėjami).“</w:t>
      </w:r>
    </w:p>
    <w:p w14:paraId="2D083D37" w14:textId="77777777" w:rsidR="00634EBC" w:rsidRDefault="00634EBC">
      <w:pPr>
        <w:tabs>
          <w:tab w:val="left" w:pos="7371"/>
        </w:tabs>
        <w:overflowPunct w:val="0"/>
        <w:textAlignment w:val="baseline"/>
      </w:pPr>
    </w:p>
    <w:p w14:paraId="0397B0D5" w14:textId="77777777" w:rsidR="00634EBC" w:rsidRDefault="00634EBC">
      <w:pPr>
        <w:tabs>
          <w:tab w:val="left" w:pos="7371"/>
        </w:tabs>
        <w:overflowPunct w:val="0"/>
        <w:textAlignment w:val="baseline"/>
      </w:pPr>
    </w:p>
    <w:p w14:paraId="005DB7CC" w14:textId="77777777" w:rsidR="00634EBC" w:rsidRDefault="00634EBC">
      <w:pPr>
        <w:tabs>
          <w:tab w:val="left" w:pos="7371"/>
        </w:tabs>
        <w:overflowPunct w:val="0"/>
        <w:textAlignment w:val="baseline"/>
      </w:pPr>
    </w:p>
    <w:p w14:paraId="14878BEE" w14:textId="01FDF9FE" w:rsidR="00AB2E09" w:rsidRDefault="00634EBC">
      <w:pPr>
        <w:tabs>
          <w:tab w:val="left" w:pos="7371"/>
        </w:tabs>
        <w:overflowPunct w:val="0"/>
        <w:textAlignment w:val="baseline"/>
      </w:pPr>
      <w:r>
        <w:rPr>
          <w:szCs w:val="24"/>
        </w:rPr>
        <w:t xml:space="preserve">Švietimo, mokslo ir sporto ministrė        </w:t>
      </w:r>
      <w:r>
        <w:rPr>
          <w:szCs w:val="24"/>
        </w:rPr>
        <w:tab/>
      </w:r>
      <w:r>
        <w:rPr>
          <w:szCs w:val="24"/>
        </w:rPr>
        <w:t xml:space="preserve">     Raminta </w:t>
      </w:r>
      <w:proofErr w:type="spellStart"/>
      <w:r>
        <w:rPr>
          <w:szCs w:val="24"/>
        </w:rPr>
        <w:t>Popovienė</w:t>
      </w:r>
      <w:proofErr w:type="spellEnd"/>
    </w:p>
    <w:sectPr w:rsidR="00AB2E0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61FEE" w14:textId="77777777" w:rsidR="00AB2E09" w:rsidRDefault="00634EBC">
      <w:r>
        <w:separator/>
      </w:r>
    </w:p>
  </w:endnote>
  <w:endnote w:type="continuationSeparator" w:id="0">
    <w:p w14:paraId="083DFDDB" w14:textId="77777777" w:rsidR="00AB2E09" w:rsidRDefault="00634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C86B9" w14:textId="77777777" w:rsidR="00AB2E09" w:rsidRDefault="00AB2E09">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EA1A0" w14:textId="77777777" w:rsidR="00AB2E09" w:rsidRDefault="00AB2E09">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D62FB" w14:textId="77777777" w:rsidR="00AB2E09" w:rsidRDefault="00AB2E09">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B763E" w14:textId="77777777" w:rsidR="00AB2E09" w:rsidRDefault="00634EBC">
      <w:r>
        <w:separator/>
      </w:r>
    </w:p>
  </w:footnote>
  <w:footnote w:type="continuationSeparator" w:id="0">
    <w:p w14:paraId="3144AE27" w14:textId="77777777" w:rsidR="00AB2E09" w:rsidRDefault="00634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49B9A" w14:textId="77777777" w:rsidR="00AB2E09" w:rsidRDefault="00AB2E09">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ADCB2" w14:textId="319645F1" w:rsidR="00AB2E09" w:rsidRDefault="00634EBC">
    <w:pPr>
      <w:tabs>
        <w:tab w:val="center" w:pos="4819"/>
        <w:tab w:val="right" w:pos="9638"/>
      </w:tabs>
      <w:jc w:val="center"/>
    </w:pPr>
    <w:r>
      <w:fldChar w:fldCharType="begin"/>
    </w:r>
    <w:r>
      <w:instrText>PAGE   \* MERGEFORMAT</w:instrText>
    </w:r>
    <w:r>
      <w:fldChar w:fldCharType="separate"/>
    </w:r>
    <w:r>
      <w:rPr>
        <w:noProof/>
      </w:rPr>
      <w:t>2</w:t>
    </w:r>
    <w:r>
      <w:fldChar w:fldCharType="end"/>
    </w:r>
  </w:p>
  <w:p w14:paraId="18F8522D" w14:textId="77777777" w:rsidR="00AB2E09" w:rsidRDefault="00AB2E09">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E0A72" w14:textId="77777777" w:rsidR="00AB2E09" w:rsidRDefault="00AB2E09">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48D"/>
    <w:rsid w:val="0057048D"/>
    <w:rsid w:val="00634EBC"/>
    <w:rsid w:val="00AB2E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15969"/>
  <w15:chartTrackingRefBased/>
  <w15:docId w15:val="{E84B86D9-D855-4BAE-9B91-4F133A4A8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34E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761741">
      <w:bodyDiv w:val="1"/>
      <w:marLeft w:val="0"/>
      <w:marRight w:val="0"/>
      <w:marTop w:val="0"/>
      <w:marBottom w:val="0"/>
      <w:divBdr>
        <w:top w:val="none" w:sz="0" w:space="0" w:color="auto"/>
        <w:left w:val="none" w:sz="0" w:space="0" w:color="auto"/>
        <w:bottom w:val="none" w:sz="0" w:space="0" w:color="auto"/>
        <w:right w:val="none" w:sz="0" w:space="0" w:color="auto"/>
      </w:divBdr>
      <w:divsChild>
        <w:div w:id="962493845">
          <w:marLeft w:val="0"/>
          <w:marRight w:val="0"/>
          <w:marTop w:val="0"/>
          <w:marBottom w:val="0"/>
          <w:divBdr>
            <w:top w:val="none" w:sz="0" w:space="0" w:color="auto"/>
            <w:left w:val="none" w:sz="0" w:space="0" w:color="auto"/>
            <w:bottom w:val="none" w:sz="0" w:space="0" w:color="auto"/>
            <w:right w:val="none" w:sz="0" w:space="0" w:color="auto"/>
          </w:divBdr>
        </w:div>
        <w:div w:id="1891305630">
          <w:marLeft w:val="0"/>
          <w:marRight w:val="0"/>
          <w:marTop w:val="0"/>
          <w:marBottom w:val="0"/>
          <w:divBdr>
            <w:top w:val="none" w:sz="0" w:space="0" w:color="auto"/>
            <w:left w:val="none" w:sz="0" w:space="0" w:color="auto"/>
            <w:bottom w:val="none" w:sz="0" w:space="0" w:color="auto"/>
            <w:right w:val="none" w:sz="0" w:space="0" w:color="auto"/>
          </w:divBdr>
        </w:div>
        <w:div w:id="558177287">
          <w:marLeft w:val="0"/>
          <w:marRight w:val="0"/>
          <w:marTop w:val="0"/>
          <w:marBottom w:val="0"/>
          <w:divBdr>
            <w:top w:val="none" w:sz="0" w:space="0" w:color="auto"/>
            <w:left w:val="none" w:sz="0" w:space="0" w:color="auto"/>
            <w:bottom w:val="none" w:sz="0" w:space="0" w:color="auto"/>
            <w:right w:val="none" w:sz="0" w:space="0" w:color="auto"/>
          </w:divBdr>
        </w:div>
        <w:div w:id="1280257111">
          <w:marLeft w:val="0"/>
          <w:marRight w:val="0"/>
          <w:marTop w:val="0"/>
          <w:marBottom w:val="0"/>
          <w:divBdr>
            <w:top w:val="none" w:sz="0" w:space="0" w:color="auto"/>
            <w:left w:val="none" w:sz="0" w:space="0" w:color="auto"/>
            <w:bottom w:val="none" w:sz="0" w:space="0" w:color="auto"/>
            <w:right w:val="none" w:sz="0" w:space="0" w:color="auto"/>
          </w:divBdr>
        </w:div>
        <w:div w:id="527182586">
          <w:marLeft w:val="0"/>
          <w:marRight w:val="0"/>
          <w:marTop w:val="0"/>
          <w:marBottom w:val="0"/>
          <w:divBdr>
            <w:top w:val="none" w:sz="0" w:space="0" w:color="auto"/>
            <w:left w:val="none" w:sz="0" w:space="0" w:color="auto"/>
            <w:bottom w:val="none" w:sz="0" w:space="0" w:color="auto"/>
            <w:right w:val="none" w:sz="0" w:space="0" w:color="auto"/>
          </w:divBdr>
        </w:div>
        <w:div w:id="1530335969">
          <w:marLeft w:val="0"/>
          <w:marRight w:val="0"/>
          <w:marTop w:val="0"/>
          <w:marBottom w:val="0"/>
          <w:divBdr>
            <w:top w:val="none" w:sz="0" w:space="0" w:color="auto"/>
            <w:left w:val="none" w:sz="0" w:space="0" w:color="auto"/>
            <w:bottom w:val="none" w:sz="0" w:space="0" w:color="auto"/>
            <w:right w:val="none" w:sz="0" w:space="0" w:color="auto"/>
          </w:divBdr>
        </w:div>
        <w:div w:id="1597859348">
          <w:marLeft w:val="0"/>
          <w:marRight w:val="0"/>
          <w:marTop w:val="0"/>
          <w:marBottom w:val="0"/>
          <w:divBdr>
            <w:top w:val="none" w:sz="0" w:space="0" w:color="auto"/>
            <w:left w:val="none" w:sz="0" w:space="0" w:color="auto"/>
            <w:bottom w:val="none" w:sz="0" w:space="0" w:color="auto"/>
            <w:right w:val="none" w:sz="0" w:space="0" w:color="auto"/>
          </w:divBdr>
        </w:div>
      </w:divsChild>
    </w:div>
    <w:div w:id="895433818">
      <w:bodyDiv w:val="1"/>
      <w:marLeft w:val="0"/>
      <w:marRight w:val="0"/>
      <w:marTop w:val="0"/>
      <w:marBottom w:val="0"/>
      <w:divBdr>
        <w:top w:val="none" w:sz="0" w:space="0" w:color="auto"/>
        <w:left w:val="none" w:sz="0" w:space="0" w:color="auto"/>
        <w:bottom w:val="none" w:sz="0" w:space="0" w:color="auto"/>
        <w:right w:val="none" w:sz="0" w:space="0" w:color="auto"/>
      </w:divBdr>
      <w:divsChild>
        <w:div w:id="1125585658">
          <w:marLeft w:val="0"/>
          <w:marRight w:val="0"/>
          <w:marTop w:val="0"/>
          <w:marBottom w:val="0"/>
          <w:divBdr>
            <w:top w:val="none" w:sz="0" w:space="0" w:color="auto"/>
            <w:left w:val="none" w:sz="0" w:space="0" w:color="auto"/>
            <w:bottom w:val="none" w:sz="0" w:space="0" w:color="auto"/>
            <w:right w:val="none" w:sz="0" w:space="0" w:color="auto"/>
          </w:divBdr>
        </w:div>
        <w:div w:id="372535172">
          <w:marLeft w:val="0"/>
          <w:marRight w:val="0"/>
          <w:marTop w:val="0"/>
          <w:marBottom w:val="0"/>
          <w:divBdr>
            <w:top w:val="none" w:sz="0" w:space="0" w:color="auto"/>
            <w:left w:val="none" w:sz="0" w:space="0" w:color="auto"/>
            <w:bottom w:val="none" w:sz="0" w:space="0" w:color="auto"/>
            <w:right w:val="none" w:sz="0" w:space="0" w:color="auto"/>
          </w:divBdr>
        </w:div>
        <w:div w:id="832842006">
          <w:marLeft w:val="0"/>
          <w:marRight w:val="0"/>
          <w:marTop w:val="0"/>
          <w:marBottom w:val="0"/>
          <w:divBdr>
            <w:top w:val="none" w:sz="0" w:space="0" w:color="auto"/>
            <w:left w:val="none" w:sz="0" w:space="0" w:color="auto"/>
            <w:bottom w:val="none" w:sz="0" w:space="0" w:color="auto"/>
            <w:right w:val="none" w:sz="0" w:space="0" w:color="auto"/>
          </w:divBdr>
        </w:div>
        <w:div w:id="1037701022">
          <w:marLeft w:val="0"/>
          <w:marRight w:val="0"/>
          <w:marTop w:val="0"/>
          <w:marBottom w:val="0"/>
          <w:divBdr>
            <w:top w:val="none" w:sz="0" w:space="0" w:color="auto"/>
            <w:left w:val="none" w:sz="0" w:space="0" w:color="auto"/>
            <w:bottom w:val="none" w:sz="0" w:space="0" w:color="auto"/>
            <w:right w:val="none" w:sz="0" w:space="0" w:color="auto"/>
          </w:divBdr>
        </w:div>
        <w:div w:id="561336047">
          <w:marLeft w:val="0"/>
          <w:marRight w:val="0"/>
          <w:marTop w:val="0"/>
          <w:marBottom w:val="0"/>
          <w:divBdr>
            <w:top w:val="none" w:sz="0" w:space="0" w:color="auto"/>
            <w:left w:val="none" w:sz="0" w:space="0" w:color="auto"/>
            <w:bottom w:val="none" w:sz="0" w:space="0" w:color="auto"/>
            <w:right w:val="none" w:sz="0" w:space="0" w:color="auto"/>
          </w:divBdr>
        </w:div>
      </w:divsChild>
    </w:div>
    <w:div w:id="1543706363">
      <w:bodyDiv w:val="1"/>
      <w:marLeft w:val="0"/>
      <w:marRight w:val="0"/>
      <w:marTop w:val="0"/>
      <w:marBottom w:val="0"/>
      <w:divBdr>
        <w:top w:val="none" w:sz="0" w:space="0" w:color="auto"/>
        <w:left w:val="none" w:sz="0" w:space="0" w:color="auto"/>
        <w:bottom w:val="none" w:sz="0" w:space="0" w:color="auto"/>
        <w:right w:val="none" w:sz="0" w:space="0" w:color="auto"/>
      </w:divBdr>
      <w:divsChild>
        <w:div w:id="979310293">
          <w:marLeft w:val="0"/>
          <w:marRight w:val="0"/>
          <w:marTop w:val="0"/>
          <w:marBottom w:val="0"/>
          <w:divBdr>
            <w:top w:val="none" w:sz="0" w:space="0" w:color="auto"/>
            <w:left w:val="none" w:sz="0" w:space="0" w:color="auto"/>
            <w:bottom w:val="none" w:sz="0" w:space="0" w:color="auto"/>
            <w:right w:val="none" w:sz="0" w:space="0" w:color="auto"/>
          </w:divBdr>
        </w:div>
        <w:div w:id="1694302944">
          <w:marLeft w:val="0"/>
          <w:marRight w:val="0"/>
          <w:marTop w:val="0"/>
          <w:marBottom w:val="0"/>
          <w:divBdr>
            <w:top w:val="none" w:sz="0" w:space="0" w:color="auto"/>
            <w:left w:val="none" w:sz="0" w:space="0" w:color="auto"/>
            <w:bottom w:val="none" w:sz="0" w:space="0" w:color="auto"/>
            <w:right w:val="none" w:sz="0" w:space="0" w:color="auto"/>
          </w:divBdr>
        </w:div>
        <w:div w:id="1727023089">
          <w:marLeft w:val="0"/>
          <w:marRight w:val="0"/>
          <w:marTop w:val="0"/>
          <w:marBottom w:val="0"/>
          <w:divBdr>
            <w:top w:val="none" w:sz="0" w:space="0" w:color="auto"/>
            <w:left w:val="none" w:sz="0" w:space="0" w:color="auto"/>
            <w:bottom w:val="none" w:sz="0" w:space="0" w:color="auto"/>
            <w:right w:val="none" w:sz="0" w:space="0" w:color="auto"/>
          </w:divBdr>
        </w:div>
        <w:div w:id="202789766">
          <w:marLeft w:val="0"/>
          <w:marRight w:val="0"/>
          <w:marTop w:val="0"/>
          <w:marBottom w:val="0"/>
          <w:divBdr>
            <w:top w:val="none" w:sz="0" w:space="0" w:color="auto"/>
            <w:left w:val="none" w:sz="0" w:space="0" w:color="auto"/>
            <w:bottom w:val="none" w:sz="0" w:space="0" w:color="auto"/>
            <w:right w:val="none" w:sz="0" w:space="0" w:color="auto"/>
          </w:divBdr>
        </w:div>
        <w:div w:id="1380781866">
          <w:marLeft w:val="0"/>
          <w:marRight w:val="0"/>
          <w:marTop w:val="0"/>
          <w:marBottom w:val="0"/>
          <w:divBdr>
            <w:top w:val="none" w:sz="0" w:space="0" w:color="auto"/>
            <w:left w:val="none" w:sz="0" w:space="0" w:color="auto"/>
            <w:bottom w:val="none" w:sz="0" w:space="0" w:color="auto"/>
            <w:right w:val="none" w:sz="0" w:space="0" w:color="auto"/>
          </w:divBdr>
        </w:div>
      </w:divsChild>
    </w:div>
    <w:div w:id="1851066774">
      <w:bodyDiv w:val="1"/>
      <w:marLeft w:val="0"/>
      <w:marRight w:val="0"/>
      <w:marTop w:val="0"/>
      <w:marBottom w:val="0"/>
      <w:divBdr>
        <w:top w:val="none" w:sz="0" w:space="0" w:color="auto"/>
        <w:left w:val="none" w:sz="0" w:space="0" w:color="auto"/>
        <w:bottom w:val="none" w:sz="0" w:space="0" w:color="auto"/>
        <w:right w:val="none" w:sz="0" w:space="0" w:color="auto"/>
      </w:divBdr>
      <w:divsChild>
        <w:div w:id="137845141">
          <w:marLeft w:val="0"/>
          <w:marRight w:val="0"/>
          <w:marTop w:val="0"/>
          <w:marBottom w:val="0"/>
          <w:divBdr>
            <w:top w:val="none" w:sz="0" w:space="0" w:color="auto"/>
            <w:left w:val="none" w:sz="0" w:space="0" w:color="auto"/>
            <w:bottom w:val="none" w:sz="0" w:space="0" w:color="auto"/>
            <w:right w:val="none" w:sz="0" w:space="0" w:color="auto"/>
          </w:divBdr>
        </w:div>
        <w:div w:id="1228493139">
          <w:marLeft w:val="0"/>
          <w:marRight w:val="0"/>
          <w:marTop w:val="0"/>
          <w:marBottom w:val="0"/>
          <w:divBdr>
            <w:top w:val="none" w:sz="0" w:space="0" w:color="auto"/>
            <w:left w:val="none" w:sz="0" w:space="0" w:color="auto"/>
            <w:bottom w:val="none" w:sz="0" w:space="0" w:color="auto"/>
            <w:right w:val="none" w:sz="0" w:space="0" w:color="auto"/>
          </w:divBdr>
        </w:div>
      </w:divsChild>
    </w:div>
    <w:div w:id="1851943342">
      <w:bodyDiv w:val="1"/>
      <w:marLeft w:val="0"/>
      <w:marRight w:val="0"/>
      <w:marTop w:val="0"/>
      <w:marBottom w:val="0"/>
      <w:divBdr>
        <w:top w:val="none" w:sz="0" w:space="0" w:color="auto"/>
        <w:left w:val="none" w:sz="0" w:space="0" w:color="auto"/>
        <w:bottom w:val="none" w:sz="0" w:space="0" w:color="auto"/>
        <w:right w:val="none" w:sz="0" w:space="0" w:color="auto"/>
      </w:divBdr>
      <w:divsChild>
        <w:div w:id="1788311001">
          <w:marLeft w:val="0"/>
          <w:marRight w:val="0"/>
          <w:marTop w:val="0"/>
          <w:marBottom w:val="0"/>
          <w:divBdr>
            <w:top w:val="none" w:sz="0" w:space="0" w:color="auto"/>
            <w:left w:val="none" w:sz="0" w:space="0" w:color="auto"/>
            <w:bottom w:val="none" w:sz="0" w:space="0" w:color="auto"/>
            <w:right w:val="none" w:sz="0" w:space="0" w:color="auto"/>
          </w:divBdr>
        </w:div>
        <w:div w:id="1031616492">
          <w:marLeft w:val="0"/>
          <w:marRight w:val="0"/>
          <w:marTop w:val="0"/>
          <w:marBottom w:val="0"/>
          <w:divBdr>
            <w:top w:val="none" w:sz="0" w:space="0" w:color="auto"/>
            <w:left w:val="none" w:sz="0" w:space="0" w:color="auto"/>
            <w:bottom w:val="none" w:sz="0" w:space="0" w:color="auto"/>
            <w:right w:val="none" w:sz="0" w:space="0" w:color="auto"/>
          </w:divBdr>
        </w:div>
      </w:divsChild>
    </w:div>
    <w:div w:id="1984197450">
      <w:bodyDiv w:val="1"/>
      <w:marLeft w:val="0"/>
      <w:marRight w:val="0"/>
      <w:marTop w:val="0"/>
      <w:marBottom w:val="0"/>
      <w:divBdr>
        <w:top w:val="none" w:sz="0" w:space="0" w:color="auto"/>
        <w:left w:val="none" w:sz="0" w:space="0" w:color="auto"/>
        <w:bottom w:val="none" w:sz="0" w:space="0" w:color="auto"/>
        <w:right w:val="none" w:sz="0" w:space="0" w:color="auto"/>
      </w:divBdr>
      <w:divsChild>
        <w:div w:id="678042192">
          <w:marLeft w:val="0"/>
          <w:marRight w:val="0"/>
          <w:marTop w:val="0"/>
          <w:marBottom w:val="0"/>
          <w:divBdr>
            <w:top w:val="none" w:sz="0" w:space="0" w:color="auto"/>
            <w:left w:val="none" w:sz="0" w:space="0" w:color="auto"/>
            <w:bottom w:val="none" w:sz="0" w:space="0" w:color="auto"/>
            <w:right w:val="none" w:sz="0" w:space="0" w:color="auto"/>
          </w:divBdr>
        </w:div>
        <w:div w:id="2112889953">
          <w:marLeft w:val="0"/>
          <w:marRight w:val="0"/>
          <w:marTop w:val="0"/>
          <w:marBottom w:val="0"/>
          <w:divBdr>
            <w:top w:val="none" w:sz="0" w:space="0" w:color="auto"/>
            <w:left w:val="none" w:sz="0" w:space="0" w:color="auto"/>
            <w:bottom w:val="none" w:sz="0" w:space="0" w:color="auto"/>
            <w:right w:val="none" w:sz="0" w:space="0" w:color="auto"/>
          </w:divBdr>
        </w:div>
        <w:div w:id="905267493">
          <w:marLeft w:val="0"/>
          <w:marRight w:val="0"/>
          <w:marTop w:val="0"/>
          <w:marBottom w:val="0"/>
          <w:divBdr>
            <w:top w:val="none" w:sz="0" w:space="0" w:color="auto"/>
            <w:left w:val="none" w:sz="0" w:space="0" w:color="auto"/>
            <w:bottom w:val="none" w:sz="0" w:space="0" w:color="auto"/>
            <w:right w:val="none" w:sz="0" w:space="0" w:color="auto"/>
          </w:divBdr>
        </w:div>
        <w:div w:id="471294615">
          <w:marLeft w:val="0"/>
          <w:marRight w:val="0"/>
          <w:marTop w:val="0"/>
          <w:marBottom w:val="0"/>
          <w:divBdr>
            <w:top w:val="none" w:sz="0" w:space="0" w:color="auto"/>
            <w:left w:val="none" w:sz="0" w:space="0" w:color="auto"/>
            <w:bottom w:val="none" w:sz="0" w:space="0" w:color="auto"/>
            <w:right w:val="none" w:sz="0" w:space="0" w:color="auto"/>
          </w:divBdr>
        </w:div>
        <w:div w:id="1511682313">
          <w:marLeft w:val="0"/>
          <w:marRight w:val="0"/>
          <w:marTop w:val="0"/>
          <w:marBottom w:val="0"/>
          <w:divBdr>
            <w:top w:val="none" w:sz="0" w:space="0" w:color="auto"/>
            <w:left w:val="none" w:sz="0" w:space="0" w:color="auto"/>
            <w:bottom w:val="none" w:sz="0" w:space="0" w:color="auto"/>
            <w:right w:val="none" w:sz="0" w:space="0" w:color="auto"/>
          </w:divBdr>
        </w:div>
        <w:div w:id="395514525">
          <w:marLeft w:val="0"/>
          <w:marRight w:val="0"/>
          <w:marTop w:val="0"/>
          <w:marBottom w:val="0"/>
          <w:divBdr>
            <w:top w:val="none" w:sz="0" w:space="0" w:color="auto"/>
            <w:left w:val="none" w:sz="0" w:space="0" w:color="auto"/>
            <w:bottom w:val="none" w:sz="0" w:space="0" w:color="auto"/>
            <w:right w:val="none" w:sz="0" w:space="0" w:color="auto"/>
          </w:divBdr>
        </w:div>
        <w:div w:id="685445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glossaryDocument" Target="glossary/document.xml"/>
  <Relationship Id="rId17"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header" Target="header1.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Bendrosios nuostatos"/>
          <w:gallery w:val="placeholder"/>
        </w:category>
        <w:types>
          <w:type w:val="bbPlcHdr"/>
        </w:types>
        <w:behaviors>
          <w:behavior w:val="content"/>
        </w:behaviors>
        <w:guid w:val="{8F615B2F-B8C2-4CB6-AA20-99E4F953F707}"/>
      </w:docPartPr>
      <w:docPartBody>
        <w:p w:rsidR="00000000" w:rsidRDefault="00F05B77">
          <w:r w:rsidRPr="000957DC">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B77"/>
    <w:rsid w:val="00F05B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05B7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7608AD41-BF94-4928-A77B-172F3DEFC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6843</Words>
  <Characters>3902</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10724</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2025-10-10T14:07:00Z</dcterms:created>
  <dc:creator>Asta Šeškevičienė</dc:creator>
  <lastModifiedBy>PAPINIGIENĖ Augustė</lastModifiedBy>
  <lastPrinted>2023-10-11T13:17:00Z</lastPrinted>
  <dcterms:modified xsi:type="dcterms:W3CDTF">2025-10-13T05:49:00Z</dcterms:modified>
  <revision>3</revision>
</coreProperties>
</file>